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B0" w:rsidRPr="004C079F" w:rsidRDefault="004909B0" w:rsidP="004909B0">
      <w:pPr>
        <w:pStyle w:val="Heading1"/>
        <w:numPr>
          <w:ilvl w:val="0"/>
          <w:numId w:val="0"/>
        </w:numPr>
        <w:ind w:left="720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U</w:t>
      </w:r>
      <w:r w:rsidRPr="004C079F">
        <w:rPr>
          <w:rFonts w:asciiTheme="minorHAnsi" w:hAnsiTheme="minorHAnsi" w:cstheme="minorHAnsi"/>
          <w:lang w:val="sr-Latn-RS"/>
        </w:rPr>
        <w:t>pravljanje zalihama</w:t>
      </w:r>
    </w:p>
    <w:p w:rsidR="004909B0" w:rsidRPr="004C079F" w:rsidRDefault="004909B0" w:rsidP="004909B0">
      <w:pPr>
        <w:rPr>
          <w:rFonts w:cstheme="minorHAnsi"/>
        </w:rPr>
      </w:pPr>
    </w:p>
    <w:p w:rsidR="004909B0" w:rsidRPr="004C079F" w:rsidRDefault="004909B0" w:rsidP="004909B0">
      <w:pPr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>U vezi sa nabavkom materijala A dati su sledeći podaci:</w:t>
      </w:r>
    </w:p>
    <w:p w:rsidR="004909B0" w:rsidRPr="004C079F" w:rsidRDefault="004909B0" w:rsidP="004909B0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t>procenjena godišnja upotreba materijala iznosi 8.000 kg (A)</w:t>
      </w:r>
    </w:p>
    <w:p w:rsidR="004909B0" w:rsidRPr="004C079F" w:rsidRDefault="004909B0" w:rsidP="004909B0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t>procenjeni troškovi pribavljanja zaliha po jednoj porudžbini iznose 10.000 dinara (S)</w:t>
      </w:r>
    </w:p>
    <w:p w:rsidR="004909B0" w:rsidRPr="004C079F" w:rsidRDefault="004909B0" w:rsidP="004909B0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t>procenjeni troškovi držanja zaliha iznose 10% od njihove nabavne vrednosti (i)</w:t>
      </w:r>
    </w:p>
    <w:p w:rsidR="004909B0" w:rsidRPr="004C079F" w:rsidRDefault="004909B0" w:rsidP="004909B0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lang w:val="sr-Latn-RS"/>
        </w:rPr>
      </w:pPr>
      <w:r w:rsidRPr="004C079F">
        <w:rPr>
          <w:rFonts w:asciiTheme="minorHAnsi" w:hAnsiTheme="minorHAnsi" w:cstheme="minorHAnsi"/>
          <w:lang w:val="sr-Latn-RS"/>
        </w:rPr>
        <w:t>nabavna cena po kg materijala je 400 dinara (e).</w:t>
      </w:r>
    </w:p>
    <w:p w:rsidR="004909B0" w:rsidRDefault="004909B0" w:rsidP="004909B0">
      <w:pPr>
        <w:rPr>
          <w:rFonts w:cstheme="minorHAnsi"/>
          <w:lang w:val="sr-Latn-RS"/>
        </w:rPr>
      </w:pPr>
    </w:p>
    <w:p w:rsidR="004909B0" w:rsidRPr="004C079F" w:rsidRDefault="004909B0" w:rsidP="004909B0">
      <w:pPr>
        <w:rPr>
          <w:rFonts w:cstheme="minorHAnsi"/>
          <w:lang w:val="sr-Latn-RS"/>
        </w:rPr>
      </w:pPr>
      <w:bookmarkStart w:id="0" w:name="_GoBack"/>
      <w:bookmarkEnd w:id="0"/>
      <w:r w:rsidRPr="004C079F">
        <w:rPr>
          <w:rFonts w:cstheme="minorHAnsi"/>
          <w:lang w:val="sr-Latn-RS"/>
        </w:rPr>
        <w:t>Na osnovu ovih podataka treba utvrditi i objasniti:</w:t>
      </w:r>
    </w:p>
    <w:p w:rsidR="004909B0" w:rsidRPr="004C079F" w:rsidRDefault="004909B0" w:rsidP="004909B0">
      <w:pPr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>a) Optimalnu veličinu porudžbine.</w:t>
      </w:r>
    </w:p>
    <w:p w:rsidR="004909B0" w:rsidRPr="004C079F" w:rsidRDefault="004909B0" w:rsidP="004909B0">
      <w:pPr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>b) Ukupne troškove držanja zaliha ako se nabavke vrše u količinama koje odgovaraju optimalnoj veličini porudžbine.</w:t>
      </w:r>
    </w:p>
    <w:p w:rsidR="004909B0" w:rsidRPr="004C079F" w:rsidRDefault="004909B0" w:rsidP="004909B0">
      <w:pPr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>c) Ukupne troškove zaliha ako se nabavka vrši odjednom.</w:t>
      </w:r>
    </w:p>
    <w:p w:rsidR="004909B0" w:rsidRDefault="004909B0" w:rsidP="004909B0">
      <w:pPr>
        <w:jc w:val="both"/>
        <w:rPr>
          <w:rFonts w:cstheme="minorHAnsi"/>
          <w:sz w:val="22"/>
          <w:szCs w:val="22"/>
          <w:lang w:val="sr-Latn-RS"/>
        </w:rPr>
      </w:pPr>
    </w:p>
    <w:p w:rsidR="004909B0" w:rsidRDefault="004909B0" w:rsidP="004909B0">
      <w:pPr>
        <w:jc w:val="both"/>
        <w:rPr>
          <w:rFonts w:cstheme="minorHAnsi"/>
          <w:sz w:val="22"/>
          <w:szCs w:val="22"/>
          <w:lang w:val="sr-Latn-RS"/>
        </w:rPr>
      </w:pPr>
    </w:p>
    <w:p w:rsidR="004909B0" w:rsidRPr="004C079F" w:rsidRDefault="004909B0" w:rsidP="004909B0">
      <w:pPr>
        <w:jc w:val="both"/>
        <w:rPr>
          <w:rFonts w:cstheme="minorHAnsi"/>
          <w:sz w:val="22"/>
          <w:szCs w:val="22"/>
          <w:lang w:val="sr-Latn-RS"/>
        </w:rPr>
      </w:pPr>
    </w:p>
    <w:p w:rsidR="004909B0" w:rsidRPr="004C079F" w:rsidRDefault="004909B0" w:rsidP="004909B0">
      <w:pPr>
        <w:pStyle w:val="Heading1"/>
        <w:numPr>
          <w:ilvl w:val="0"/>
          <w:numId w:val="0"/>
        </w:numPr>
        <w:ind w:left="720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R</w:t>
      </w:r>
      <w:r w:rsidRPr="004C079F">
        <w:rPr>
          <w:rFonts w:asciiTheme="minorHAnsi" w:hAnsiTheme="minorHAnsi" w:cstheme="minorHAnsi"/>
          <w:lang w:val="sr-Latn-RS"/>
        </w:rPr>
        <w:t>elaksacija kreditnih standarda</w:t>
      </w:r>
    </w:p>
    <w:p w:rsidR="004909B0" w:rsidRPr="004C079F" w:rsidRDefault="004909B0" w:rsidP="004909B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</w:p>
    <w:p w:rsidR="004909B0" w:rsidRPr="004C079F" w:rsidRDefault="004909B0" w:rsidP="004909B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Kompanija razmatra mogućnost relaksacije kreditnih standarda. Pri postojećim kreditnim standardima preduzeće proizvede i proda 1.000 jedinica proizvoda. Prodajna cena po jedinici proizvoda iznosi 400 dinara. Prosečni varijabilni troškovi iznose 200 dinara po jedinici, a ukupni fiksni troškovi 170.000 dinara.</w:t>
      </w:r>
    </w:p>
    <w:p w:rsidR="004909B0" w:rsidRDefault="004909B0" w:rsidP="004909B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</w:p>
    <w:p w:rsidR="004909B0" w:rsidRPr="004C079F" w:rsidRDefault="004909B0" w:rsidP="004909B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Relaksacijom kreditnih standarda obim proizvodnje i prodaje bi se povećao za 4%, ali bi se prosečan period naplate potraživanja produžio sa 18 na 24 dana. Pored toga, povećali bi se gubici zbog nenaplativih potraživanja sa 0,4% na 0,6% od prodajne vrednosti.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Oportunitetni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 xml:space="preserve"> troškovi držanja potraživanja od kupaca bi ostali nepromenjeni na nivou od 17%.</w:t>
      </w:r>
    </w:p>
    <w:p w:rsidR="004909B0" w:rsidRDefault="004909B0" w:rsidP="004909B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</w:p>
    <w:p w:rsidR="004909B0" w:rsidRPr="004C079F" w:rsidRDefault="004909B0" w:rsidP="004909B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Utvrditi doprinos relaksaciji kreditnih standarda ukupnom finansijskom rezultatu i na osnovu toga doneti odgovarajuću odluku.</w:t>
      </w:r>
    </w:p>
    <w:p w:rsidR="004909B0" w:rsidRPr="004C079F" w:rsidRDefault="004909B0" w:rsidP="004909B0">
      <w:pPr>
        <w:jc w:val="both"/>
        <w:rPr>
          <w:rFonts w:cstheme="minorHAnsi"/>
          <w:sz w:val="22"/>
          <w:szCs w:val="22"/>
          <w:lang w:val="sr-Latn-RS"/>
        </w:rPr>
      </w:pPr>
    </w:p>
    <w:p w:rsidR="004909B0" w:rsidRDefault="004909B0">
      <w:pPr>
        <w:rPr>
          <w:rFonts w:eastAsiaTheme="majorEastAsia" w:cstheme="minorHAnsi"/>
          <w:color w:val="2F5496" w:themeColor="accent1" w:themeShade="BF"/>
          <w:sz w:val="32"/>
          <w:szCs w:val="32"/>
          <w:lang w:val="sr-Latn-RS"/>
        </w:rPr>
      </w:pPr>
      <w:r>
        <w:rPr>
          <w:rFonts w:cstheme="minorHAnsi"/>
          <w:lang w:val="sr-Latn-RS"/>
        </w:rPr>
        <w:br w:type="page"/>
      </w:r>
    </w:p>
    <w:p w:rsidR="004909B0" w:rsidRPr="001B07E6" w:rsidRDefault="004909B0" w:rsidP="004909B0">
      <w:pPr>
        <w:pStyle w:val="Heading1"/>
        <w:numPr>
          <w:ilvl w:val="0"/>
          <w:numId w:val="0"/>
        </w:numPr>
        <w:ind w:left="720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lastRenderedPageBreak/>
        <w:t>M</w:t>
      </w:r>
      <w:r w:rsidRPr="001B07E6">
        <w:rPr>
          <w:rFonts w:asciiTheme="minorHAnsi" w:hAnsiTheme="minorHAnsi" w:cstheme="minorHAnsi"/>
          <w:lang w:val="sr-Latn-RS"/>
        </w:rPr>
        <w:t>etode finansiranja obrtnih sredstava</w:t>
      </w:r>
    </w:p>
    <w:p w:rsidR="004909B0" w:rsidRDefault="004909B0" w:rsidP="004909B0">
      <w:pPr>
        <w:spacing w:after="120"/>
        <w:rPr>
          <w:rFonts w:cstheme="minorHAnsi"/>
          <w:lang w:val="sr-Latn-RS"/>
        </w:rPr>
      </w:pPr>
    </w:p>
    <w:p w:rsidR="004909B0" w:rsidRPr="004C079F" w:rsidRDefault="004909B0" w:rsidP="004909B0">
      <w:pPr>
        <w:spacing w:after="120"/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>Date su potrebe kompanije za stalnim i povremenim obrtnim sredstvima:</w:t>
      </w:r>
    </w:p>
    <w:tbl>
      <w:tblPr>
        <w:tblStyle w:val="TableTheme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2735"/>
        <w:gridCol w:w="2735"/>
        <w:gridCol w:w="2735"/>
      </w:tblGrid>
      <w:tr w:rsidR="004909B0" w:rsidRPr="004C079F" w:rsidTr="00035F98">
        <w:trPr>
          <w:trHeight w:val="20"/>
        </w:trPr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Mesec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Ukupna poslovna sredstva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Stalna potrebna sredstva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Povremena potrebna sredstva</w:t>
            </w:r>
          </w:p>
        </w:tc>
      </w:tr>
      <w:tr w:rsidR="004909B0" w:rsidRPr="004C079F" w:rsidTr="00035F98">
        <w:trPr>
          <w:trHeight w:val="35"/>
        </w:trPr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I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2.200.000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200.000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II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2.140.000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140.000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III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2.100.000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100.000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IV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2.050.000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50.000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V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2.050.000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50.000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VI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-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VII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2.180.000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180.000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VIII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2.190.000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190.000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IX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2.200.000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200.000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X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2.150.000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150.000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XI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2.100.000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100.000</w:t>
            </w:r>
          </w:p>
        </w:tc>
      </w:tr>
      <w:tr w:rsidR="004909B0" w:rsidRPr="004C079F" w:rsidTr="00035F98">
        <w:tc>
          <w:tcPr>
            <w:tcW w:w="97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XII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2.040.000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2.000.000</w:t>
            </w:r>
          </w:p>
        </w:tc>
        <w:tc>
          <w:tcPr>
            <w:tcW w:w="2735" w:type="dxa"/>
          </w:tcPr>
          <w:p w:rsidR="004909B0" w:rsidRPr="004C079F" w:rsidRDefault="004909B0" w:rsidP="00035F98">
            <w:pPr>
              <w:pStyle w:val="Tabela"/>
              <w:jc w:val="center"/>
              <w:rPr>
                <w:rFonts w:cstheme="minorHAnsi"/>
                <w:lang w:val="sr-Latn-RS"/>
              </w:rPr>
            </w:pPr>
            <w:r w:rsidRPr="004C079F">
              <w:rPr>
                <w:rFonts w:cstheme="minorHAnsi"/>
                <w:lang w:val="sr-Latn-RS"/>
              </w:rPr>
              <w:t>40.000</w:t>
            </w:r>
          </w:p>
        </w:tc>
      </w:tr>
    </w:tbl>
    <w:p w:rsidR="004909B0" w:rsidRDefault="004909B0" w:rsidP="004909B0">
      <w:pPr>
        <w:rPr>
          <w:rFonts w:cstheme="minorHAnsi"/>
          <w:lang w:val="sr-Latn-RS"/>
        </w:rPr>
      </w:pPr>
    </w:p>
    <w:p w:rsidR="004909B0" w:rsidRPr="004C079F" w:rsidRDefault="004909B0" w:rsidP="004909B0">
      <w:pPr>
        <w:jc w:val="both"/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 xml:space="preserve">Od ukupnih stalno potrebnih sredstava na </w:t>
      </w:r>
      <w:r>
        <w:rPr>
          <w:rFonts w:cstheme="minorHAnsi"/>
          <w:lang w:val="sr-Latn-RS"/>
        </w:rPr>
        <w:t>stalna</w:t>
      </w:r>
      <w:r w:rsidRPr="004C079F">
        <w:rPr>
          <w:rFonts w:cstheme="minorHAnsi"/>
          <w:lang w:val="sr-Latn-RS"/>
        </w:rPr>
        <w:t xml:space="preserve"> sredstva se odnosi 1.500.000, a na obrtna 500.000 dinara. Kamata na sredstva pribavljena iz dugoročnih izvora plaća se po stopi od 12%, a na sredstva iz kratkoročnih izvora po stopi od 10%.</w:t>
      </w:r>
    </w:p>
    <w:p w:rsidR="004909B0" w:rsidRDefault="004909B0" w:rsidP="004909B0">
      <w:pPr>
        <w:rPr>
          <w:rFonts w:cstheme="minorHAnsi"/>
          <w:lang w:val="sr-Latn-RS"/>
        </w:rPr>
      </w:pPr>
    </w:p>
    <w:p w:rsidR="004909B0" w:rsidRPr="004C079F" w:rsidRDefault="004909B0" w:rsidP="004909B0">
      <w:pPr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>Koliko bi iznosili ukupni troškovi finansiranja prema:</w:t>
      </w:r>
    </w:p>
    <w:p w:rsidR="004909B0" w:rsidRPr="004C079F" w:rsidRDefault="004909B0" w:rsidP="004909B0">
      <w:pPr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 xml:space="preserve">a) metodu finansiranja prema </w:t>
      </w:r>
      <w:proofErr w:type="spellStart"/>
      <w:r w:rsidRPr="004C079F">
        <w:rPr>
          <w:rFonts w:cstheme="minorHAnsi"/>
          <w:lang w:val="sr-Latn-RS"/>
        </w:rPr>
        <w:t>ročnosti</w:t>
      </w:r>
      <w:proofErr w:type="spellEnd"/>
      <w:r w:rsidRPr="004C079F">
        <w:rPr>
          <w:rFonts w:cstheme="minorHAnsi"/>
          <w:lang w:val="sr-Latn-RS"/>
        </w:rPr>
        <w:t xml:space="preserve"> vezivanja sredstava;</w:t>
      </w:r>
    </w:p>
    <w:p w:rsidR="004909B0" w:rsidRPr="004C079F" w:rsidRDefault="004909B0" w:rsidP="004909B0">
      <w:pPr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>b) konzervativnom metodu finansiranja;</w:t>
      </w:r>
    </w:p>
    <w:p w:rsidR="004909B0" w:rsidRPr="004C079F" w:rsidRDefault="004909B0" w:rsidP="004909B0">
      <w:pPr>
        <w:rPr>
          <w:rFonts w:cstheme="minorHAnsi"/>
          <w:lang w:val="sr-Latn-RS"/>
        </w:rPr>
      </w:pPr>
      <w:r w:rsidRPr="004C079F">
        <w:rPr>
          <w:rFonts w:cstheme="minorHAnsi"/>
          <w:lang w:val="sr-Latn-RS"/>
        </w:rPr>
        <w:t>c) kompromisnom metodu finansiranja.</w:t>
      </w:r>
    </w:p>
    <w:p w:rsidR="004909B0" w:rsidRPr="004C079F" w:rsidRDefault="004909B0" w:rsidP="004909B0">
      <w:pPr>
        <w:rPr>
          <w:rFonts w:cstheme="minorHAnsi"/>
          <w:lang w:val="sr-Latn-RS"/>
        </w:rPr>
      </w:pPr>
    </w:p>
    <w:p w:rsidR="008B2EC1" w:rsidRDefault="008B2EC1"/>
    <w:sectPr w:rsidR="008B2EC1" w:rsidSect="00BC22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BD15058_"/>
      </v:shape>
    </w:pict>
  </w:numPicBullet>
  <w:abstractNum w:abstractNumId="0" w15:restartNumberingAfterBreak="0">
    <w:nsid w:val="11201D38"/>
    <w:multiLevelType w:val="hybridMultilevel"/>
    <w:tmpl w:val="57EE9AB4"/>
    <w:lvl w:ilvl="0" w:tplc="8B9A22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245"/>
    <w:multiLevelType w:val="hybridMultilevel"/>
    <w:tmpl w:val="040C7DFE"/>
    <w:lvl w:ilvl="0" w:tplc="B456B71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5C3E"/>
    <w:multiLevelType w:val="hybridMultilevel"/>
    <w:tmpl w:val="DB40CC70"/>
    <w:lvl w:ilvl="0" w:tplc="784EBA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D6C91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57887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780E1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C7281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13225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91E33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72EA9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5448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B0"/>
    <w:rsid w:val="004909B0"/>
    <w:rsid w:val="008B2EC1"/>
    <w:rsid w:val="00B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64139"/>
  <w15:chartTrackingRefBased/>
  <w15:docId w15:val="{B8F7C5C3-9E4D-7C4D-B4A8-D1B50BFD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9B0"/>
  </w:style>
  <w:style w:type="paragraph" w:styleId="Heading1">
    <w:name w:val="heading 1"/>
    <w:basedOn w:val="Normal"/>
    <w:next w:val="Normal"/>
    <w:link w:val="Heading1Char"/>
    <w:uiPriority w:val="9"/>
    <w:qFormat/>
    <w:rsid w:val="004909B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09B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Theme">
    <w:name w:val="Table Theme"/>
    <w:basedOn w:val="TableNormal"/>
    <w:uiPriority w:val="99"/>
    <w:rsid w:val="0049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rsid w:val="004909B0"/>
    <w:pPr>
      <w:spacing w:before="40" w:after="40" w:line="276" w:lineRule="auto"/>
      <w:jc w:val="both"/>
    </w:pPr>
    <w:rPr>
      <w:rFonts w:eastAsiaTheme="minorEastAsia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Obradovic</dc:creator>
  <cp:keywords/>
  <dc:description/>
  <cp:lastModifiedBy>Tijana Obradovic</cp:lastModifiedBy>
  <cp:revision>1</cp:revision>
  <dcterms:created xsi:type="dcterms:W3CDTF">2019-11-11T12:37:00Z</dcterms:created>
  <dcterms:modified xsi:type="dcterms:W3CDTF">2019-11-11T12:39:00Z</dcterms:modified>
</cp:coreProperties>
</file>